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ORDIN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564/499/2021 din 4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720/2008,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 - Nr. 564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CASA NAŢIONALĂ DE ASIGURĂRI DE SĂNĂTATE - Nr. 499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474 din 6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 531 din 4.05.2021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DG 1.417 din 4.05.2021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4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luând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(5) pct. 11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134/2019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normative,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144/2010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972/2006,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grup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720/2008,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3,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protocol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720/2008,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90%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biologic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original biologic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original cu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biologic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atins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specific;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nou-diagnosticaţi</w:t>
      </w:r>
      <w:proofErr w:type="spellEnd"/>
      <w:r>
        <w:rPr>
          <w:rFonts w:ascii="Times New Roman" w:hAnsi="Times New Roman" w:cs="Times New Roman"/>
          <w:sz w:val="28"/>
          <w:szCs w:val="28"/>
        </w:rPr>
        <w:t>, switch-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aceluiaşi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alt DCI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biosimilare</w:t>
      </w:r>
      <w:proofErr w:type="spellEnd"/>
      <w:r>
        <w:rPr>
          <w:rFonts w:ascii="Times New Roman" w:hAnsi="Times New Roman" w:cs="Times New Roman"/>
          <w:sz w:val="28"/>
          <w:szCs w:val="28"/>
        </w:rPr>
        <w:t>, switch-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biosimilar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aceluiaşi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alt DCI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720/2008,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notate cu (**), (**)1, (**)1ß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(**)1Ω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 -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C1, C3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D;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notate cu (**), (**)1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(**)1Ω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C2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Protocoalele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periodic.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8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1 - 3*)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1 - 3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 474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Autonome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15.05.2021,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65,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9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10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1.301/500/2008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720/2008,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531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11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  <w:proofErr w:type="gram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Ioana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Mihăilă</w:t>
      </w:r>
      <w:proofErr w:type="spellEnd"/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34" w:rsidRDefault="00367F34" w:rsidP="0036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5B70" w:rsidRDefault="00367F34" w:rsidP="00367F3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Adrian Gheorghe</w:t>
      </w:r>
    </w:p>
    <w:sectPr w:rsidR="001B5B70" w:rsidSect="00AA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67F34"/>
    <w:rsid w:val="000F2AEB"/>
    <w:rsid w:val="001B5B70"/>
    <w:rsid w:val="00367F34"/>
    <w:rsid w:val="008D6A88"/>
    <w:rsid w:val="00AA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 - Irina</dc:creator>
  <cp:lastModifiedBy>CAS - Irina</cp:lastModifiedBy>
  <cp:revision>1</cp:revision>
  <dcterms:created xsi:type="dcterms:W3CDTF">2021-05-17T10:02:00Z</dcterms:created>
  <dcterms:modified xsi:type="dcterms:W3CDTF">2021-05-17T10:03:00Z</dcterms:modified>
</cp:coreProperties>
</file>